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0BF" w:rsidRPr="007620BF" w:rsidRDefault="007620BF" w:rsidP="007620BF">
      <w:pPr>
        <w:pStyle w:val="MarginBulletCharChar"/>
        <w:numPr>
          <w:ilvl w:val="0"/>
          <w:numId w:val="0"/>
        </w:numPr>
        <w:tabs>
          <w:tab w:val="clear" w:pos="360"/>
          <w:tab w:val="clear" w:pos="1080"/>
          <w:tab w:val="clear" w:pos="1440"/>
        </w:tabs>
        <w:jc w:val="center"/>
        <w:rPr>
          <w:b/>
        </w:rPr>
      </w:pPr>
      <w:r w:rsidRPr="007620BF">
        <w:rPr>
          <w:b/>
        </w:rPr>
        <w:t>BOURNE HOUSING AUTHORITY</w:t>
      </w:r>
    </w:p>
    <w:p w:rsidR="007620BF" w:rsidRDefault="007620BF" w:rsidP="007620BF">
      <w:pPr>
        <w:pStyle w:val="MarginBulletCharChar"/>
        <w:numPr>
          <w:ilvl w:val="0"/>
          <w:numId w:val="0"/>
        </w:numPr>
        <w:tabs>
          <w:tab w:val="clear" w:pos="360"/>
          <w:tab w:val="clear" w:pos="1080"/>
          <w:tab w:val="clear" w:pos="1440"/>
        </w:tabs>
        <w:jc w:val="center"/>
        <w:rPr>
          <w:b/>
        </w:rPr>
      </w:pPr>
      <w:r>
        <w:rPr>
          <w:b/>
        </w:rPr>
        <w:t xml:space="preserve">ROLAND PHINNEY </w:t>
      </w:r>
      <w:r w:rsidRPr="007620BF">
        <w:rPr>
          <w:b/>
        </w:rPr>
        <w:t>GUEST POLICY</w:t>
      </w:r>
      <w:bookmarkStart w:id="0" w:name="_GoBack"/>
      <w:bookmarkEnd w:id="0"/>
    </w:p>
    <w:p w:rsidR="007620BF" w:rsidRPr="007620BF" w:rsidRDefault="007620BF" w:rsidP="007620BF">
      <w:pPr>
        <w:pStyle w:val="MarginBulletCharChar"/>
        <w:numPr>
          <w:ilvl w:val="0"/>
          <w:numId w:val="0"/>
        </w:numPr>
        <w:tabs>
          <w:tab w:val="clear" w:pos="360"/>
          <w:tab w:val="clear" w:pos="1080"/>
          <w:tab w:val="clear" w:pos="1440"/>
        </w:tabs>
        <w:jc w:val="center"/>
        <w:rPr>
          <w:b/>
        </w:rPr>
      </w:pPr>
    </w:p>
    <w:p w:rsidR="007620BF" w:rsidRPr="007620BF" w:rsidRDefault="007620BF" w:rsidP="007620BF">
      <w:pPr>
        <w:pStyle w:val="MarginBulletCharChar"/>
        <w:numPr>
          <w:ilvl w:val="0"/>
          <w:numId w:val="0"/>
        </w:numPr>
        <w:tabs>
          <w:tab w:val="clear" w:pos="360"/>
          <w:tab w:val="clear" w:pos="1080"/>
          <w:tab w:val="clear" w:pos="1440"/>
        </w:tabs>
        <w:contextualSpacing/>
      </w:pPr>
      <w:r w:rsidRPr="007620BF">
        <w:t xml:space="preserve">A </w:t>
      </w:r>
      <w:r>
        <w:t>guest</w:t>
      </w:r>
      <w:r w:rsidRPr="007620BF">
        <w:t xml:space="preserve"> is defined as a person temporarily staying in the unit with the consent of a tenant or other member of the household who has express or implied authority to so consent on behalf of the tenant.</w:t>
      </w:r>
    </w:p>
    <w:p w:rsidR="008275B7" w:rsidRDefault="008275B7" w:rsidP="007620BF">
      <w:pPr>
        <w:pStyle w:val="MarginBulletCharChar"/>
        <w:numPr>
          <w:ilvl w:val="0"/>
          <w:numId w:val="0"/>
        </w:numPr>
        <w:tabs>
          <w:tab w:val="clear" w:pos="360"/>
          <w:tab w:val="clear" w:pos="1080"/>
          <w:tab w:val="clear" w:pos="1440"/>
        </w:tabs>
        <w:contextualSpacing/>
      </w:pPr>
    </w:p>
    <w:p w:rsidR="007620BF" w:rsidRDefault="007620BF" w:rsidP="007620BF">
      <w:pPr>
        <w:pStyle w:val="MarginBulletCharChar"/>
        <w:numPr>
          <w:ilvl w:val="0"/>
          <w:numId w:val="0"/>
        </w:numPr>
        <w:tabs>
          <w:tab w:val="clear" w:pos="360"/>
          <w:tab w:val="clear" w:pos="1080"/>
          <w:tab w:val="clear" w:pos="1440"/>
        </w:tabs>
        <w:contextualSpacing/>
      </w:pPr>
      <w:r w:rsidRPr="007620BF">
        <w:t>The lease must provide that the tenant has the right to exclusive use and occupancy of the leased unit by the members of the household authorized to reside in the unit in accordance with the lease, including reasonable accommodation of their guests [24 CFR 966.4(d)]. The head of household is responsible for the conduct of visitors and guests, inside the unit as well as anywhere on or near PHA premises [24 CFR 966.4(f)].</w:t>
      </w:r>
    </w:p>
    <w:p w:rsidR="007620BF" w:rsidRPr="007620BF" w:rsidRDefault="007620BF" w:rsidP="007620BF">
      <w:pPr>
        <w:pStyle w:val="MarginBulletCharChar"/>
        <w:numPr>
          <w:ilvl w:val="0"/>
          <w:numId w:val="0"/>
        </w:numPr>
        <w:tabs>
          <w:tab w:val="clear" w:pos="360"/>
          <w:tab w:val="clear" w:pos="1080"/>
          <w:tab w:val="clear" w:pos="1440"/>
        </w:tabs>
        <w:contextualSpacing/>
      </w:pPr>
    </w:p>
    <w:p w:rsidR="007620BF" w:rsidRDefault="007620BF" w:rsidP="007620BF">
      <w:pPr>
        <w:pStyle w:val="MarginBulletCharChar"/>
        <w:numPr>
          <w:ilvl w:val="0"/>
          <w:numId w:val="0"/>
        </w:numPr>
        <w:tabs>
          <w:tab w:val="clear" w:pos="360"/>
          <w:tab w:val="clear" w:pos="1080"/>
          <w:tab w:val="clear" w:pos="1440"/>
        </w:tabs>
        <w:spacing w:before="0"/>
        <w:ind w:hanging="42"/>
        <w:contextualSpacing/>
      </w:pPr>
      <w:r w:rsidRPr="007620BF">
        <w:t>A resident family should notify the BHA when overnight guests will be staying in the unit</w:t>
      </w:r>
      <w:r>
        <w:t xml:space="preserve"> for</w:t>
      </w:r>
    </w:p>
    <w:p w:rsidR="007620BF" w:rsidRDefault="007620BF" w:rsidP="008275B7">
      <w:pPr>
        <w:pStyle w:val="MarginBulletCharChar"/>
        <w:numPr>
          <w:ilvl w:val="0"/>
          <w:numId w:val="0"/>
        </w:numPr>
        <w:tabs>
          <w:tab w:val="clear" w:pos="360"/>
          <w:tab w:val="clear" w:pos="1080"/>
          <w:tab w:val="clear" w:pos="1440"/>
        </w:tabs>
        <w:spacing w:before="0"/>
        <w:ind w:hanging="56"/>
        <w:contextualSpacing/>
      </w:pPr>
      <w:r>
        <w:t>m</w:t>
      </w:r>
      <w:r w:rsidRPr="007620BF">
        <w:t xml:space="preserve">ore than 3 days. A guest can remain in the unit no longer than </w:t>
      </w:r>
      <w:r w:rsidR="008275B7">
        <w:t>14 calendar</w:t>
      </w:r>
      <w:r>
        <w:t xml:space="preserve"> days </w:t>
      </w:r>
      <w:r w:rsidR="008275B7">
        <w:t>d</w:t>
      </w:r>
      <w:r w:rsidRPr="007620BF">
        <w:t>uring any 12 month period.</w:t>
      </w:r>
    </w:p>
    <w:p w:rsidR="007620BF" w:rsidRPr="007620BF" w:rsidRDefault="007620BF" w:rsidP="007620BF">
      <w:pPr>
        <w:pStyle w:val="MarginBulletCharChar"/>
        <w:numPr>
          <w:ilvl w:val="0"/>
          <w:numId w:val="0"/>
        </w:numPr>
        <w:tabs>
          <w:tab w:val="clear" w:pos="360"/>
          <w:tab w:val="clear" w:pos="1080"/>
          <w:tab w:val="clear" w:pos="1440"/>
        </w:tabs>
        <w:spacing w:before="0"/>
        <w:ind w:hanging="112"/>
        <w:contextualSpacing/>
      </w:pPr>
    </w:p>
    <w:p w:rsidR="007620BF" w:rsidRPr="007620BF" w:rsidRDefault="007620BF" w:rsidP="007620BF">
      <w:pPr>
        <w:pStyle w:val="MarginBulletCharChar"/>
        <w:numPr>
          <w:ilvl w:val="0"/>
          <w:numId w:val="0"/>
        </w:numPr>
        <w:tabs>
          <w:tab w:val="clear" w:pos="360"/>
          <w:tab w:val="clear" w:pos="1080"/>
          <w:tab w:val="clear" w:pos="1440"/>
        </w:tabs>
        <w:spacing w:before="0"/>
        <w:contextualSpacing/>
      </w:pPr>
      <w:r w:rsidRPr="007620BF">
        <w:t>A family may request an exception to this policy for valid reasons (e.g., care of a relative recovering from a medical procedure expected to last 30 consecutive days). An exception will not be made unless the family can identify and provide documentation of the residence to which the guest will return.</w:t>
      </w:r>
    </w:p>
    <w:p w:rsidR="007620BF" w:rsidRDefault="007620BF" w:rsidP="007620BF">
      <w:pPr>
        <w:pStyle w:val="MarginBulletCharChar"/>
        <w:numPr>
          <w:ilvl w:val="0"/>
          <w:numId w:val="0"/>
        </w:numPr>
        <w:tabs>
          <w:tab w:val="clear" w:pos="360"/>
          <w:tab w:val="clear" w:pos="1080"/>
          <w:tab w:val="clear" w:pos="1440"/>
        </w:tabs>
        <w:spacing w:before="0"/>
        <w:contextualSpacing/>
      </w:pPr>
    </w:p>
    <w:p w:rsidR="007620BF" w:rsidRDefault="007620BF" w:rsidP="007620BF">
      <w:pPr>
        <w:pStyle w:val="MarginBulletCharChar"/>
        <w:numPr>
          <w:ilvl w:val="0"/>
          <w:numId w:val="0"/>
        </w:numPr>
        <w:tabs>
          <w:tab w:val="clear" w:pos="360"/>
          <w:tab w:val="clear" w:pos="1080"/>
          <w:tab w:val="clear" w:pos="1440"/>
        </w:tabs>
        <w:spacing w:before="0"/>
        <w:contextualSpacing/>
      </w:pPr>
      <w:r w:rsidRPr="007620BF">
        <w:t>Former residents who have been evicted are not permitted as overnight guests.</w:t>
      </w:r>
    </w:p>
    <w:p w:rsidR="007620BF" w:rsidRPr="007620BF" w:rsidRDefault="007620BF" w:rsidP="007620BF">
      <w:pPr>
        <w:pStyle w:val="MarginBulletCharChar"/>
        <w:numPr>
          <w:ilvl w:val="0"/>
          <w:numId w:val="0"/>
        </w:numPr>
        <w:tabs>
          <w:tab w:val="clear" w:pos="360"/>
          <w:tab w:val="clear" w:pos="1080"/>
          <w:tab w:val="clear" w:pos="1440"/>
        </w:tabs>
        <w:spacing w:before="0"/>
        <w:contextualSpacing/>
      </w:pPr>
    </w:p>
    <w:p w:rsidR="007620BF" w:rsidRPr="007620BF" w:rsidRDefault="007620BF" w:rsidP="007620BF">
      <w:pPr>
        <w:pStyle w:val="MarginBulletCharChar"/>
        <w:numPr>
          <w:ilvl w:val="0"/>
          <w:numId w:val="0"/>
        </w:numPr>
        <w:tabs>
          <w:tab w:val="clear" w:pos="360"/>
          <w:tab w:val="clear" w:pos="1080"/>
          <w:tab w:val="clear" w:pos="1440"/>
        </w:tabs>
        <w:spacing w:before="0"/>
        <w:contextualSpacing/>
      </w:pPr>
      <w:r w:rsidRPr="007620BF">
        <w:t>Guests who represent the public housing unit address as their residence address or address of record for receipt of benefits or any other purposes will be considered unauthorized occupants. In addition, guests who remain in the unit beyond the allowable time limit will be considered to be unauthorized occupants, and their presence constitutes violation of the lease.</w:t>
      </w:r>
    </w:p>
    <w:p w:rsidR="003D389E" w:rsidRDefault="003D389E" w:rsidP="007620BF">
      <w:pPr>
        <w:spacing w:line="240" w:lineRule="auto"/>
        <w:contextualSpacing/>
      </w:pPr>
    </w:p>
    <w:p w:rsidR="008275B7" w:rsidRDefault="008275B7" w:rsidP="007620BF">
      <w:pPr>
        <w:spacing w:line="240" w:lineRule="auto"/>
        <w:contextualSpacing/>
      </w:pPr>
    </w:p>
    <w:p w:rsidR="008275B7" w:rsidRDefault="008275B7" w:rsidP="007620BF">
      <w:pPr>
        <w:spacing w:line="240" w:lineRule="auto"/>
        <w:contextualSpacing/>
      </w:pPr>
    </w:p>
    <w:p w:rsidR="008275B7" w:rsidRDefault="008275B7" w:rsidP="007620BF">
      <w:pPr>
        <w:spacing w:line="240" w:lineRule="auto"/>
        <w:contextualSpacing/>
      </w:pPr>
    </w:p>
    <w:p w:rsidR="008275B7" w:rsidRDefault="008275B7" w:rsidP="007620BF">
      <w:pPr>
        <w:spacing w:line="240" w:lineRule="auto"/>
        <w:contextualSpacing/>
      </w:pPr>
    </w:p>
    <w:p w:rsidR="008275B7" w:rsidRDefault="008275B7" w:rsidP="007620BF">
      <w:pPr>
        <w:spacing w:line="240" w:lineRule="auto"/>
        <w:contextualSpacing/>
      </w:pPr>
    </w:p>
    <w:p w:rsidR="008275B7" w:rsidRDefault="008275B7" w:rsidP="007620BF">
      <w:pPr>
        <w:spacing w:line="240" w:lineRule="auto"/>
        <w:contextualSpacing/>
      </w:pPr>
    </w:p>
    <w:p w:rsidR="008275B7" w:rsidRDefault="008275B7" w:rsidP="007620BF">
      <w:pPr>
        <w:spacing w:line="240" w:lineRule="auto"/>
        <w:contextualSpacing/>
      </w:pPr>
    </w:p>
    <w:p w:rsidR="008275B7" w:rsidRDefault="008275B7" w:rsidP="007620BF">
      <w:pPr>
        <w:spacing w:line="240" w:lineRule="auto"/>
        <w:contextualSpacing/>
      </w:pPr>
    </w:p>
    <w:p w:rsidR="008275B7" w:rsidRDefault="008275B7" w:rsidP="007620BF">
      <w:pPr>
        <w:spacing w:line="240" w:lineRule="auto"/>
        <w:contextualSpacing/>
      </w:pPr>
    </w:p>
    <w:p w:rsidR="008275B7" w:rsidRDefault="008275B7" w:rsidP="007620BF">
      <w:pPr>
        <w:spacing w:line="240" w:lineRule="auto"/>
        <w:contextualSpacing/>
      </w:pPr>
    </w:p>
    <w:p w:rsidR="008275B7" w:rsidRDefault="008275B7" w:rsidP="007620BF">
      <w:pPr>
        <w:spacing w:line="240" w:lineRule="auto"/>
        <w:contextualSpacing/>
      </w:pPr>
    </w:p>
    <w:p w:rsidR="008275B7" w:rsidRDefault="008275B7" w:rsidP="007620BF">
      <w:pPr>
        <w:spacing w:line="240" w:lineRule="auto"/>
        <w:contextualSpacing/>
      </w:pPr>
    </w:p>
    <w:p w:rsidR="008275B7" w:rsidRDefault="008275B7" w:rsidP="007620BF">
      <w:pPr>
        <w:spacing w:line="240" w:lineRule="auto"/>
        <w:contextualSpacing/>
      </w:pPr>
    </w:p>
    <w:p w:rsidR="008275B7" w:rsidRPr="007620BF" w:rsidRDefault="008275B7" w:rsidP="007620BF">
      <w:pPr>
        <w:spacing w:line="240" w:lineRule="auto"/>
        <w:contextualSpacing/>
      </w:pPr>
    </w:p>
    <w:sectPr w:rsidR="008275B7" w:rsidRPr="007620BF" w:rsidSect="0076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E5D73"/>
    <w:multiLevelType w:val="hybridMultilevel"/>
    <w:tmpl w:val="77B4D3B4"/>
    <w:lvl w:ilvl="0" w:tplc="FFFFFFFF">
      <w:start w:val="1"/>
      <w:numFmt w:val="bullet"/>
      <w:pStyle w:val="Level1BulletChar"/>
      <w:lvlText w:val=""/>
      <w:lvlJc w:val="left"/>
      <w:pPr>
        <w:tabs>
          <w:tab w:val="num" w:pos="810"/>
        </w:tabs>
        <w:ind w:left="810" w:hanging="72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4"/>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0BF"/>
    <w:rsid w:val="003D389E"/>
    <w:rsid w:val="00465535"/>
    <w:rsid w:val="007620BF"/>
    <w:rsid w:val="00827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BulletChar">
    <w:name w:val="Level 1 Bullet Char"/>
    <w:basedOn w:val="Normal"/>
    <w:rsid w:val="007620BF"/>
    <w:pPr>
      <w:numPr>
        <w:numId w:val="1"/>
      </w:numPr>
      <w:tabs>
        <w:tab w:val="left" w:pos="360"/>
        <w:tab w:val="left" w:pos="1080"/>
        <w:tab w:val="left" w:pos="1440"/>
      </w:tabs>
      <w:spacing w:before="120" w:after="0" w:line="240" w:lineRule="auto"/>
    </w:pPr>
    <w:rPr>
      <w:rFonts w:ascii="Times New Roman" w:eastAsia="Times New Roman" w:hAnsi="Times New Roman" w:cs="Times New Roman"/>
      <w:sz w:val="24"/>
      <w:szCs w:val="24"/>
    </w:rPr>
  </w:style>
  <w:style w:type="paragraph" w:customStyle="1" w:styleId="MarginBulletCharChar">
    <w:name w:val="Margin Bullet Char Char"/>
    <w:basedOn w:val="Level1BulletChar"/>
    <w:rsid w:val="007620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BulletChar">
    <w:name w:val="Level 1 Bullet Char"/>
    <w:basedOn w:val="Normal"/>
    <w:rsid w:val="007620BF"/>
    <w:pPr>
      <w:numPr>
        <w:numId w:val="1"/>
      </w:numPr>
      <w:tabs>
        <w:tab w:val="left" w:pos="360"/>
        <w:tab w:val="left" w:pos="1080"/>
        <w:tab w:val="left" w:pos="1440"/>
      </w:tabs>
      <w:spacing w:before="120" w:after="0" w:line="240" w:lineRule="auto"/>
    </w:pPr>
    <w:rPr>
      <w:rFonts w:ascii="Times New Roman" w:eastAsia="Times New Roman" w:hAnsi="Times New Roman" w:cs="Times New Roman"/>
      <w:sz w:val="24"/>
      <w:szCs w:val="24"/>
    </w:rPr>
  </w:style>
  <w:style w:type="paragraph" w:customStyle="1" w:styleId="MarginBulletCharChar">
    <w:name w:val="Margin Bullet Char Char"/>
    <w:basedOn w:val="Level1BulletChar"/>
    <w:rsid w:val="00762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Jordan</dc:creator>
  <cp:lastModifiedBy>Deb Jordan</cp:lastModifiedBy>
  <cp:revision>2</cp:revision>
  <cp:lastPrinted>2017-04-12T13:14:00Z</cp:lastPrinted>
  <dcterms:created xsi:type="dcterms:W3CDTF">2017-02-01T16:34:00Z</dcterms:created>
  <dcterms:modified xsi:type="dcterms:W3CDTF">2017-04-12T13:27:00Z</dcterms:modified>
</cp:coreProperties>
</file>